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295"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8"/>
        <w:gridCol w:w="990"/>
        <w:gridCol w:w="8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29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4"/>
                <w:szCs w:val="44"/>
                <w:u w:val="none"/>
              </w:rPr>
            </w:pPr>
            <w:r>
              <w:rPr>
                <w:rFonts w:hint="eastAsia" w:ascii="宋体" w:hAnsi="宋体" w:eastAsia="宋体" w:cs="宋体"/>
                <w:b/>
                <w:bCs/>
                <w:i w:val="0"/>
                <w:iCs w:val="0"/>
                <w:color w:val="000000"/>
                <w:kern w:val="0"/>
                <w:sz w:val="44"/>
                <w:szCs w:val="44"/>
                <w:u w:val="none"/>
                <w:lang w:val="en-US" w:eastAsia="zh-CN" w:bidi="ar"/>
              </w:rPr>
              <w:t>2021年度企业社会责任报告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2021年度大事记</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公司积极对外寻求业务合作。6月10日，公司与中车环境科技有限公司签订《业务合作协议》。双方为充分发挥在各自领域的资源优势，进一步推动双方长期、全面、深入合作，本着平等互利、合作共赢的原则，建立起良好的合作伙伴关系，在产品开发、市场开拓、产业链延伸等方面开展深度合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公司概况</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江苏赛福天钢索股份有限公司成立于2005年6月，其前身为国营无锡市钢丝绳厂，创立于1958年。2016年3月31日，公司在上海证券交易所正式挂牌上市，股票代码：603028。公司注册资本22080万元，现有员工580余人，占地面积153亩，年产钢丝绳5万吨。公司是高新技术企业、国家知识产权优势企业、江苏省服务型制造企业和江苏省民营科技企业。公司拥有60余年的钢丝绳制造经验，是国内领先的特种钢丝绳供应商，专注于电梯用钢丝绳和起重机用钢丝绳的研发、生产和销售，是国内历史悠久的钢丝绳生产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经营与发展综述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2021年经营情况</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公司按照年初制定的经营计划，以推动经营规模持续增长为主线，进一步聚焦主业，全方位挖掘各业务板块资源优势。今年1月到6月，公司钢丝绳索具业务的营业收入40414.31万元，比上年同期增长34.96%。公司表示，后续将进一步重视和加强技术创新，快速响应和满足客户需求，不断增强客户粘性，扩大公司在钢丝绳行业的市场份额及竞争优势。未来公司将不断加快脚步，力争引入更多优质客户，不断提升市场销售占比。</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2020上半年，公司营业收入比上年同期增加44.53%，主要是钢丝绳索具市场良好，公司订单稳步增长，另受原材料市场波动，部分产品实行提价政策。同时，公司拓宽业务领域，新增建筑设计业务收入；而归属于上市公司股东的净利润比上年同期增加79.87%，主要是公司新增建筑设计业务，相关盈利能力较高。 另外，公司响应国家政策积极开拓维保市场，也取得了一定进展。据公司介绍，维保市场的电梯绳需求量与国内电梯保有量以及钢丝绳的更新速度密切相关。根据中国电梯协会统计，截至2020年末， 国内电梯保有量达到774.5万台，电梯保有量的庞大基础和电梯安全维保意识的逐步提高直接带动在用电梯维保市场需求的巨大潜力。因此，公司表示，将继续致力于维保市场的开拓，为客户提供更专业的配套、安装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32"/>
                <w:szCs w:val="32"/>
                <w:u w:val="none"/>
              </w:rPr>
            </w:pPr>
          </w:p>
        </w:tc>
        <w:tc>
          <w:tcPr>
            <w:tcW w:w="99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2022年发展计划</w:t>
            </w:r>
          </w:p>
        </w:tc>
        <w:tc>
          <w:tcPr>
            <w:tcW w:w="823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 积极开拓市场</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在钢丝绳业务板块，继续维护好电梯绳、起重绳的存量市场，并积极开拓新客户。加大高分子绳芯的业务领域的比重，加深在品牌大客户的渗透度和高毛利产品的力度。同时，工程起重机行业景气度较高，“十四五”规划明确提出重点发展关键技术、关键零部件、关键工艺的重点项目和重点工作，公司要抓住机遇，协同工程机械公司做好产品配套、研发、生产工作，加强起重用绳市场的布局和营销工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建筑设计板块，同人设计位于长三角核心区域，是目前中国经济发展最快的区域之一，也是城市建设最活跃的地区之一，市场容量和发展速度高于全国其他地区。同人设计要立足于江苏，坚持以市场需求为导向，发挥其在居住、商业、办公、教育及医疗项目的丰富的建筑设计经验，依靠上市公司的背景优势，扩大业务辐射区域，提高业务量。</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另外，EPC项目作为发展的重点方向之一，将全力打造成为公司新的业务增长点。当前，同人设计组成EPC专项事业部，深入研究EPC项目规则，加快推进EPC项目落地，充分发挥公司设计+检测的产业链配套优势及项目综合管理优势。</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 安全生产是生产部门的第一要义</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着力解决影响和制约安全生产的突出矛盾问题，不断健全安全生产责任体系；加强安全教育培训，提升员工的安全意识和安全技能，确保公司安全生产形势平稳可控。为员工提供安全环保健康的工作环境，营造奋发进取的工作氛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 坚持成本控制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确保市场化竞争力得到提升。以预算为抓手，统筹安排资金，努力降低财务费用；主动对接地方财政和税务部门，积极争取优惠政策和政府各类补助；密切关注钢材、油脂价格变化趋势，加强原材料价格预判，发挥集中采购优势，进一步缩减成本开支。</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（四） 充分利用资本运作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促进产业链的有机整合。公司将积极关注钢丝绳、索具、建筑设计行业及上下产业链的整合机会，充分利用资本市场的功能，形成规模化拓展，提高公司盈利能力。</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(五) 有序优化组织架构调整</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响应公司快速发展要求，公司根据业务发展，对于公司业务进行梳理，并对于公司的组织架构搭建提出建议。下一步，公司将持续优化公司组织架构，并积极推进落地执行，响应公司快速发展的要求。</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（六）智能化、数字化、可持续性、高效率是工业物联网时代下制造业的必然发展趋势，公司将加快推动智能化工厂的规划和建设。</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面对新形势，新的管理团队，公司将依靠精益生产、人才培养、研发创新和资本运作，做好主营业务，坚持“做精产品，做响品牌，做强企业”的战略目标。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高效管理</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持续优化管理</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响应公司快速发展要求，公司根据业务发展，对于公司业务进行梳理，并对于公司的组织架构搭建提出建议。下一步，公司将持续优化公司组织架构，并积极推进落地执行，响应公司快速发展的要求。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32"/>
                <w:szCs w:val="3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公司治理规范透明</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按照监管部门的监管要求，结合公司的战略发展目标，通过对照资本市场最新修订的法律法规、规章制度健全内控体系，完善股东大会、董事会、监事会、管理层等机构合法运作和科学决策程序，建立健全权责清晰的组织架构和治理结构，确保公司规范、高效运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二）随着公司规模发展的需要，完善各项规章和管理制度，提高管理效率。通过加强对业务控制、会计系统控制、电子信息系统控制、信息传递控制、内部审计控制等，同时，充分发挥公司党委、监事会、独立董事、内部审计监察的监督作用，通过建立健全约束和制衡机制，有效增强公司各职能部门风险防控和化解能力，切实保障公司和全体股东的合法权益，为公司可持续发展提供有力的制度保障。</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（三）高度重视并积极组织公司董事、监事、高级管理人员参加监管部门组织的业务知识培训，通过各种方式及时传达监管部门的监管精神和理念，增强风险意识，提升合规履职水平。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32"/>
                <w:szCs w:val="3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内部控制降低风险</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2020年公司纳入评价范围的各业务均建立了较为完善的内部控制制度，并得到有效执行，未发现重大和重要的内部控制缺陷，发现的一般缺陷均已及时整改。2021年公司将继续优化内控环境，完善内控制度和流程，提升内控管理水平，加大内控执行及审计监督力度，健全监督问责体系，严格落实各项风险管理措施，保障公司业务稳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32"/>
                <w:szCs w:val="3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内部监督和内部控制自我评价工作开展</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2021年公司纳入评价范围的各业务均建立了较为完善的内部控制制度，并得到有效执行，未发现重大和重要的内部控制缺陷，发现的一般缺陷均已及时整改。2022年公司将继续优化内控环境，完善内控制度和流程，提升内控管理水平，加大内控执行及审计监督力度，健全监督问责体系，严格落实各项风险管理措施，保障公司业务稳健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社会责任实践</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股东权益保护</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2020年度，董事会严格按照《公司法》、《证券法》、《上海证券交易所股票上市规则》及公司相关制度，履行上市公司信息披露义务，在指定媒体和交易所网站上发布公告107份（详见附表2：2020年信息披露工作一览表），真实、完整、准确、及时、规范地向投资者披露了公司在经营成果、财务状况、重大决策等方面的重要信息，切实保障了股东的知情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董事会办公室持续重视投资者关系维护与管理工作，通过线上电话会议、上交所e互动回复、投资者热线等渠道主动加强与投资者的联系与沟通，维护信息披露的公平公正，树立了公司良好的资本市场形象。公司股东大会全面采用现场会议和网络投票相结合的方式召开，以便于广大投资者能够积极参与公司决策。公司坚持稳定良好的现金分红政策，为股东回报和市值提升提供坚实支撑；充分保障了全体股东的合法权益，推进公司在资本市场长期健康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32"/>
                <w:szCs w:val="3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职工权益保护</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公司制定以岗定薪的薪酬政策，销售人员的薪酬按照年度业绩进行考核分配，行政管理与财务人员采用基本工资和绩效工资相结合的薪资办法，一线操作人员薪酬与其产出的产量和质量挂钩，多劳多得，按劳分配。</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公司建立了较为完善的培训体系，根据经营管理的实际情况，有计划、有目的、有步骤、分阶段的展开了职工教育培训工作。为做好更深层次的培训工作，公司以基层部门为管理单元，通过多样化形式营造积极向上的学习氛围，进一步加强员工自我管理。以现场管理、安全生产、技能提升为抓手，进一步夯实精益生产基础；以管理能力、职业道德、协调沟通为补充，进一步巩固内控管理。通过专业知识、团队管理、执行力提升、职业发展和时间管理等模块，强化员工业务能力，提升综合职业素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32"/>
                <w:szCs w:val="3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供应商客户权益保护</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公司为了保证顾客财产得到有效的控制，满足顾客要求，制定了《顾客财产管理》标准制度。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以及制定《服务和顾客满意度测量管理》制度，售后服务是产品质量的延伸，应快速反应，积极做好售后服务工作，及时解决用户质量异议，使客户满意。客户服务部对用户来电、来函等认真进行登记、疏理和处理，决定服务方式。一般情况处理意见以邮件、传真、电话、微信等方式当天回复。需要到现场勘查协商处理的由公司分管领导批准，并及时指派有关部门派员协助，三天之内到达现场，遇特殊情况不得超过一个星期。客户服务部将质量异议处理、用户意见登记表整理汇总反馈，技术质管部落实改进措施。营销部通过走访、信函、电话等形式收集客户调查记录，整理汇总反馈技术质管部。营销部对收集到的信息加以分析，确定客户满意度，找出与设定目标的差距，并归纳目前存在的问题，作为评价质量管理体系业绩的改进依据，提交管理评审。追求客户满意度是公司建立和实施质量管理体系的目标。通过对客户满意信息的收集来测量质量管理体系业绩，并评价其有效性和识别可改进的方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32"/>
                <w:szCs w:val="3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环境保护与可持续发展</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2020年，公司严格执行《中华人民共和国环境保护法》及地方有关环境保护的各项规定，各项治理符合国家和地方的环境保护标准。</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公司积极落实相关环保部门要求，应用江苏省危险废物动态管理系统对危险废物进行动态管理监控，对危险废物进行及时统计、申报和转移。坚持保护生态，逐渐加大防范、处置、修复环境污染的费用的投入，并采取各项行政措施以防止污染，履行企业应有的环境责任。</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中央经济工作会议指出，将“做好碳达峰、碳中和工作”确定为2021年的八大重点任务之一。公司积极响应国家关于碳达峰和碳中和方面的政策，结合公司实际情况制定出相应的节能减排措施，进一步完善公司内部环保管理制度。</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公司于2018年建立起小型光伏发电站一座，分摊电力消耗的同时，实现节能减排。近期针对厂区办公环境进行了更新，将部分老旧设备更新为更节能环保的新设备。公司积极鼓励员工低碳出行，为其上下班提供多线路班车以供通勤选择，并对企业员工进行低碳减排培训，以提高其节能减排低碳意识，做到处处节能降耗，为企业降本增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000000"/>
                <w:sz w:val="32"/>
                <w:szCs w:val="3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公共关系和社会公益事业</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公司积极践行社会责任，开展社会捐赠活动。报告期内，公司在“万企联万村，共走振兴路”项目中深入了解和开展了对贫困地区的帮扶行动。2021年，公司将继续加大对贫困帮扶事业的支持力度，深化和创新扶贫项目内容。</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公司坚持履行企业应尽的社会责任，自上市以来，公司严格规范法人治理，不断提高管理水平，按照《公司法》、《证券法》、《上市公司治理准则》、《上市公司信息披露管理办法》、上交所《股票上市规则》、《上市公司规范运作指引》等规定，真实、准确、完整、及时、公平地履行信息披露义务，使广大股东，尤其是中小投资者能够及时、充分地了解公司各方面情况。公司注意加强投资者关系管理工作，保障广大投资者的知情权。</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 xml:space="preserve">    公司按照国家规定对劳动用工、劳动报酬、工作时间、休息休假、劳动安全卫生、保险福利、女工特殊保护、职工培训、劳动纪律与奖惩等纳入制度化管理，严格遵守《劳动法》、《劳动合同法》，与员工签订劳动合同，按时足额发放工资、奖金。公司职工养老、失业、工伤、医疗、生育等社会保险金的缴纳情况严格执行国家社会保险规定，及时缴纳各项社会保险费和住房公积金，有效地维护和保障了员工和企业的双方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0" w:hRule="atLeast"/>
        </w:trPr>
        <w:tc>
          <w:tcPr>
            <w:tcW w:w="20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总结与展望</w:t>
            </w:r>
          </w:p>
        </w:tc>
        <w:tc>
          <w:tcPr>
            <w:tcW w:w="82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    面对新形势，新的管理团队，公司将依靠精益生产、人才培养、研发创新和资本运作，做好主营业务，坚持“做精产品，做响品牌，做强企业”的战略目标；也会更加着眼于资本市场运作，给公司带来新的盈利突破点和可持续发展的能力，努力实现“做全球小巨人，铸百年赛福天”的美好愿景。</w:t>
            </w:r>
          </w:p>
        </w:tc>
      </w:tr>
    </w:tbl>
    <w:p>
      <w:pPr>
        <w:jc w:val="right"/>
        <w:rPr>
          <w:rFonts w:hint="eastAsia"/>
          <w:b/>
          <w:bCs/>
          <w:sz w:val="28"/>
          <w:szCs w:val="36"/>
          <w:lang w:eastAsia="zh-CN"/>
        </w:rPr>
      </w:pPr>
      <w:r>
        <w:rPr>
          <w:rFonts w:hint="eastAsia"/>
          <w:b/>
          <w:bCs/>
          <w:sz w:val="28"/>
          <w:szCs w:val="36"/>
          <w:lang w:eastAsia="zh-CN"/>
        </w:rPr>
        <w:t>江苏赛福天钢索股份有限公司</w:t>
      </w:r>
    </w:p>
    <w:p>
      <w:pPr>
        <w:jc w:val="right"/>
        <w:rPr>
          <w:rFonts w:hint="default"/>
          <w:b/>
          <w:bCs/>
          <w:sz w:val="28"/>
          <w:szCs w:val="36"/>
          <w:lang w:val="en-US" w:eastAsia="zh-CN"/>
        </w:rPr>
      </w:pPr>
      <w:r>
        <w:rPr>
          <w:rFonts w:hint="eastAsia"/>
          <w:b/>
          <w:bCs/>
          <w:sz w:val="28"/>
          <w:szCs w:val="36"/>
          <w:lang w:val="en-US" w:eastAsia="zh-CN"/>
        </w:rPr>
        <w:t>2021年12</w:t>
      </w:r>
      <w:bookmarkStart w:id="0" w:name="_GoBack"/>
      <w:bookmarkEnd w:id="0"/>
      <w:r>
        <w:rPr>
          <w:rFonts w:hint="eastAsia"/>
          <w:b/>
          <w:bCs/>
          <w:sz w:val="28"/>
          <w:szCs w:val="36"/>
          <w:lang w:val="en-US" w:eastAsia="zh-CN"/>
        </w:rPr>
        <w:t>月15日</w:t>
      </w:r>
    </w:p>
    <w:sectPr>
      <w:pgSz w:w="11906" w:h="16838"/>
      <w:pgMar w:top="1240" w:right="846" w:bottom="1440" w:left="7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8F0F77"/>
    <w:rsid w:val="5DFA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li.xx</dc:creator>
  <cp:lastModifiedBy></cp:lastModifiedBy>
  <dcterms:modified xsi:type="dcterms:W3CDTF">2022-04-19T06:10:39Z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72A77CEBAB194BAE9825FB97510079E5</vt:lpwstr>
  </property>
  <property fmtid="{D5CDD505-2E9C-101B-9397-08002B2CF9AE}" pid="4" name="commondata">
    <vt:lpwstr>eyJoZGlkIjoiMjEzY2VhYzY0Mjk2NWE5N2ExOGJlOGY2YTM5MTU4ZWUifQ==</vt:lpwstr>
  </property>
</Properties>
</file>